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3A" w:rsidRDefault="00E44E3A" w:rsidP="00E44E3A">
      <w:pPr>
        <w:autoSpaceDE w:val="0"/>
        <w:autoSpaceDN w:val="0"/>
        <w:adjustRightInd w:val="0"/>
        <w:jc w:val="center"/>
        <w:rPr>
          <w:rFonts w:ascii="Cambria" w:eastAsiaTheme="minorHAnsi" w:hAnsi="Cambria" w:cs="Cambria"/>
          <w:color w:val="34435B"/>
          <w:sz w:val="36"/>
          <w:szCs w:val="36"/>
        </w:rPr>
      </w:pPr>
      <w:r>
        <w:rPr>
          <w:rFonts w:ascii="Cambria" w:eastAsiaTheme="minorHAnsi" w:hAnsi="Cambria" w:cs="Cambria"/>
          <w:color w:val="34435B"/>
          <w:sz w:val="36"/>
          <w:szCs w:val="36"/>
        </w:rPr>
        <w:t>Retirement &amp; Indep</w:t>
      </w:r>
      <w:bookmarkStart w:id="0" w:name="_GoBack"/>
      <w:bookmarkEnd w:id="0"/>
      <w:r>
        <w:rPr>
          <w:rFonts w:ascii="Cambria" w:eastAsiaTheme="minorHAnsi" w:hAnsi="Cambria" w:cs="Cambria"/>
          <w:color w:val="34435B"/>
          <w:sz w:val="36"/>
          <w:szCs w:val="36"/>
        </w:rPr>
        <w:t>endent Entities</w:t>
      </w:r>
    </w:p>
    <w:p w:rsidR="00E44E3A" w:rsidRDefault="00E44E3A" w:rsidP="00E44E3A">
      <w:pPr>
        <w:autoSpaceDE w:val="0"/>
        <w:autoSpaceDN w:val="0"/>
        <w:adjustRightInd w:val="0"/>
        <w:jc w:val="center"/>
        <w:rPr>
          <w:rFonts w:ascii="Cambria" w:eastAsiaTheme="minorHAnsi" w:hAnsi="Cambria" w:cs="Cambria"/>
          <w:color w:val="34435B"/>
          <w:sz w:val="36"/>
          <w:szCs w:val="36"/>
        </w:rPr>
      </w:pPr>
      <w:r>
        <w:rPr>
          <w:rFonts w:ascii="Cambria" w:eastAsiaTheme="minorHAnsi" w:hAnsi="Cambria" w:cs="Cambria"/>
          <w:color w:val="34435B"/>
          <w:sz w:val="36"/>
          <w:szCs w:val="36"/>
        </w:rPr>
        <w:t>2014 General Session Budget Issues</w:t>
      </w:r>
    </w:p>
    <w:p w:rsidR="00E44E3A" w:rsidRDefault="00E44E3A" w:rsidP="00E44E3A">
      <w:pPr>
        <w:autoSpaceDE w:val="0"/>
        <w:autoSpaceDN w:val="0"/>
        <w:adjustRightInd w:val="0"/>
        <w:rPr>
          <w:rFonts w:eastAsiaTheme="minorHAnsi" w:cs="Calibri"/>
          <w:color w:val="000000"/>
          <w:sz w:val="24"/>
          <w:szCs w:val="24"/>
        </w:rPr>
      </w:pPr>
    </w:p>
    <w:p w:rsidR="00E44E3A" w:rsidRDefault="00E44E3A" w:rsidP="00E44E3A">
      <w:pPr>
        <w:autoSpaceDE w:val="0"/>
        <w:autoSpaceDN w:val="0"/>
        <w:adjustRightInd w:val="0"/>
        <w:rPr>
          <w:rFonts w:ascii="Cambria-Bold" w:eastAsiaTheme="minorHAnsi" w:hAnsi="Cambria-Bold" w:cs="Cambria-Bold"/>
          <w:b/>
          <w:bCs/>
          <w:color w:val="4F83BE"/>
          <w:sz w:val="26"/>
          <w:szCs w:val="26"/>
        </w:rPr>
        <w:sectPr w:rsidR="00E44E3A" w:rsidSect="00E44E3A">
          <w:pgSz w:w="12240" w:h="15840"/>
          <w:pgMar w:top="720" w:right="720" w:bottom="720" w:left="720" w:header="720" w:footer="720" w:gutter="0"/>
          <w:cols w:space="720"/>
          <w:docGrid w:linePitch="360"/>
        </w:sectPr>
      </w:pPr>
    </w:p>
    <w:p w:rsidR="00E44E3A" w:rsidRDefault="00E44E3A" w:rsidP="00E44E3A">
      <w:pPr>
        <w:autoSpaceDE w:val="0"/>
        <w:autoSpaceDN w:val="0"/>
        <w:adjustRightInd w:val="0"/>
        <w:rPr>
          <w:rFonts w:ascii="Cambria-Bold" w:eastAsiaTheme="minorHAnsi" w:hAnsi="Cambria-Bold" w:cs="Cambria-Bold"/>
          <w:b/>
          <w:bCs/>
          <w:color w:val="4F83BE"/>
          <w:sz w:val="26"/>
          <w:szCs w:val="26"/>
        </w:rPr>
      </w:pPr>
      <w:r>
        <w:rPr>
          <w:rFonts w:ascii="Cambria-Bold" w:eastAsiaTheme="minorHAnsi" w:hAnsi="Cambria-Bold" w:cs="Cambria-Bold"/>
          <w:b/>
          <w:bCs/>
          <w:color w:val="4F83BE"/>
          <w:sz w:val="26"/>
          <w:szCs w:val="26"/>
        </w:rPr>
        <w:lastRenderedPageBreak/>
        <w:t>Utah Retirement Systems</w:t>
      </w:r>
    </w:p>
    <w:p w:rsidR="00E44E3A" w:rsidRDefault="00E44E3A" w:rsidP="00E44E3A">
      <w:pPr>
        <w:autoSpaceDE w:val="0"/>
        <w:autoSpaceDN w:val="0"/>
        <w:adjustRightInd w:val="0"/>
        <w:rPr>
          <w:rFonts w:eastAsiaTheme="minorHAnsi" w:cs="Calibri"/>
          <w:color w:val="000000"/>
          <w:sz w:val="24"/>
          <w:szCs w:val="24"/>
        </w:rPr>
      </w:pPr>
    </w:p>
    <w:p w:rsidR="00E44E3A" w:rsidRDefault="00E44E3A" w:rsidP="00E44E3A">
      <w:pPr>
        <w:autoSpaceDE w:val="0"/>
        <w:autoSpaceDN w:val="0"/>
        <w:adjustRightInd w:val="0"/>
        <w:rPr>
          <w:rFonts w:eastAsiaTheme="minorHAnsi" w:cs="Calibri"/>
          <w:color w:val="000000"/>
          <w:sz w:val="24"/>
          <w:szCs w:val="24"/>
        </w:rPr>
      </w:pPr>
      <w:r>
        <w:rPr>
          <w:rFonts w:eastAsiaTheme="minorHAnsi" w:cs="Calibri"/>
          <w:color w:val="000000"/>
          <w:sz w:val="24"/>
          <w:szCs w:val="24"/>
        </w:rPr>
        <w:t>The investment losses from 2008 have now been fully realized. As a res</w:t>
      </w:r>
      <w:r>
        <w:rPr>
          <w:rFonts w:eastAsiaTheme="minorHAnsi" w:cs="Calibri"/>
          <w:color w:val="000000"/>
          <w:sz w:val="24"/>
          <w:szCs w:val="24"/>
        </w:rPr>
        <w:t xml:space="preserve">ult, retirement rates increased </w:t>
      </w:r>
      <w:r>
        <w:rPr>
          <w:rFonts w:eastAsiaTheme="minorHAnsi" w:cs="Calibri"/>
          <w:color w:val="000000"/>
          <w:sz w:val="24"/>
          <w:szCs w:val="24"/>
        </w:rPr>
        <w:t>1.73% from last year (from 20.46% to 22.19%), but should begin to decline within the next few years.</w:t>
      </w:r>
    </w:p>
    <w:p w:rsidR="00E44E3A" w:rsidRDefault="00E44E3A" w:rsidP="00E44E3A">
      <w:pPr>
        <w:autoSpaceDE w:val="0"/>
        <w:autoSpaceDN w:val="0"/>
        <w:adjustRightInd w:val="0"/>
        <w:rPr>
          <w:rFonts w:eastAsiaTheme="minorHAnsi" w:cs="Calibri"/>
          <w:color w:val="000000"/>
          <w:sz w:val="24"/>
          <w:szCs w:val="24"/>
        </w:rPr>
      </w:pPr>
      <w:r>
        <w:rPr>
          <w:rFonts w:eastAsiaTheme="minorHAnsi" w:cs="Calibri"/>
          <w:color w:val="000000"/>
          <w:sz w:val="24"/>
          <w:szCs w:val="24"/>
        </w:rPr>
        <w:t>This retirement rate adjustment will require an 8.5% increase in funding.</w:t>
      </w:r>
    </w:p>
    <w:p w:rsidR="00E44E3A" w:rsidRDefault="00E44E3A" w:rsidP="00E44E3A">
      <w:pPr>
        <w:autoSpaceDE w:val="0"/>
        <w:autoSpaceDN w:val="0"/>
        <w:adjustRightInd w:val="0"/>
        <w:rPr>
          <w:rFonts w:ascii="Cambria-Bold" w:eastAsiaTheme="minorHAnsi" w:hAnsi="Cambria-Bold" w:cs="Cambria-Bold"/>
          <w:b/>
          <w:bCs/>
          <w:color w:val="4F83BE"/>
          <w:sz w:val="26"/>
          <w:szCs w:val="26"/>
        </w:rPr>
      </w:pPr>
    </w:p>
    <w:p w:rsidR="00E44E3A" w:rsidRDefault="00E44E3A" w:rsidP="00E44E3A">
      <w:pPr>
        <w:autoSpaceDE w:val="0"/>
        <w:autoSpaceDN w:val="0"/>
        <w:adjustRightInd w:val="0"/>
        <w:rPr>
          <w:rFonts w:ascii="Cambria-Bold" w:eastAsiaTheme="minorHAnsi" w:hAnsi="Cambria-Bold" w:cs="Cambria-Bold"/>
          <w:b/>
          <w:bCs/>
          <w:color w:val="4F83BE"/>
          <w:sz w:val="26"/>
          <w:szCs w:val="26"/>
        </w:rPr>
      </w:pPr>
      <w:r>
        <w:rPr>
          <w:rFonts w:ascii="Cambria-Bold" w:eastAsiaTheme="minorHAnsi" w:hAnsi="Cambria-Bold" w:cs="Cambria-Bold"/>
          <w:b/>
          <w:bCs/>
          <w:color w:val="4F83BE"/>
          <w:sz w:val="26"/>
          <w:szCs w:val="26"/>
        </w:rPr>
        <w:t>Public Employee Health Care</w:t>
      </w:r>
    </w:p>
    <w:p w:rsidR="00E44E3A" w:rsidRDefault="00E44E3A" w:rsidP="00E44E3A">
      <w:pPr>
        <w:autoSpaceDE w:val="0"/>
        <w:autoSpaceDN w:val="0"/>
        <w:adjustRightInd w:val="0"/>
        <w:rPr>
          <w:rFonts w:eastAsiaTheme="minorHAnsi" w:cs="Calibri"/>
          <w:color w:val="000000"/>
          <w:sz w:val="24"/>
          <w:szCs w:val="24"/>
        </w:rPr>
      </w:pPr>
    </w:p>
    <w:p w:rsidR="00E44E3A" w:rsidRDefault="00E44E3A" w:rsidP="00E44E3A">
      <w:pPr>
        <w:autoSpaceDE w:val="0"/>
        <w:autoSpaceDN w:val="0"/>
        <w:adjustRightInd w:val="0"/>
        <w:rPr>
          <w:rFonts w:eastAsiaTheme="minorHAnsi" w:cs="Calibri"/>
          <w:color w:val="000000"/>
          <w:sz w:val="24"/>
          <w:szCs w:val="24"/>
        </w:rPr>
      </w:pPr>
      <w:r>
        <w:rPr>
          <w:rFonts w:eastAsiaTheme="minorHAnsi" w:cs="Calibri"/>
          <w:color w:val="000000"/>
          <w:sz w:val="24"/>
          <w:szCs w:val="24"/>
        </w:rPr>
        <w:t>Healthcare rates have increased 9.5% over what was appropriated f</w:t>
      </w:r>
      <w:r>
        <w:rPr>
          <w:rFonts w:eastAsiaTheme="minorHAnsi" w:cs="Calibri"/>
          <w:color w:val="000000"/>
          <w:sz w:val="24"/>
          <w:szCs w:val="24"/>
        </w:rPr>
        <w:t xml:space="preserve">or FY 2014. However, PEHP still </w:t>
      </w:r>
      <w:r>
        <w:rPr>
          <w:rFonts w:eastAsiaTheme="minorHAnsi" w:cs="Calibri"/>
          <w:color w:val="000000"/>
          <w:sz w:val="24"/>
          <w:szCs w:val="24"/>
        </w:rPr>
        <w:t>has excess reserves that will result in effective healthcare rates for FY 2015 increasing by only 2.2%.</w:t>
      </w:r>
    </w:p>
    <w:p w:rsidR="00E44E3A" w:rsidRDefault="00E44E3A" w:rsidP="00E44E3A">
      <w:pPr>
        <w:autoSpaceDE w:val="0"/>
        <w:autoSpaceDN w:val="0"/>
        <w:adjustRightInd w:val="0"/>
        <w:rPr>
          <w:rFonts w:eastAsiaTheme="minorHAnsi" w:cs="Calibri"/>
          <w:color w:val="000000"/>
          <w:sz w:val="24"/>
          <w:szCs w:val="24"/>
        </w:rPr>
      </w:pPr>
      <w:r>
        <w:rPr>
          <w:rFonts w:eastAsiaTheme="minorHAnsi" w:cs="Calibri"/>
          <w:color w:val="000000"/>
          <w:sz w:val="24"/>
          <w:szCs w:val="24"/>
        </w:rPr>
        <w:t>The 7.3% difference will be available as one‐time funding for FY 2015.</w:t>
      </w:r>
    </w:p>
    <w:p w:rsidR="00E44E3A" w:rsidRDefault="00E44E3A" w:rsidP="00E44E3A">
      <w:pPr>
        <w:autoSpaceDE w:val="0"/>
        <w:autoSpaceDN w:val="0"/>
        <w:adjustRightInd w:val="0"/>
        <w:rPr>
          <w:rFonts w:ascii="Cambria-Bold" w:eastAsiaTheme="minorHAnsi" w:hAnsi="Cambria-Bold" w:cs="Cambria-Bold"/>
          <w:b/>
          <w:bCs/>
          <w:color w:val="4F83BE"/>
          <w:sz w:val="26"/>
          <w:szCs w:val="26"/>
        </w:rPr>
      </w:pPr>
    </w:p>
    <w:p w:rsidR="00E44E3A" w:rsidRDefault="00E44E3A" w:rsidP="00E44E3A">
      <w:pPr>
        <w:autoSpaceDE w:val="0"/>
        <w:autoSpaceDN w:val="0"/>
        <w:adjustRightInd w:val="0"/>
        <w:rPr>
          <w:rFonts w:ascii="Cambria-Bold" w:eastAsiaTheme="minorHAnsi" w:hAnsi="Cambria-Bold" w:cs="Cambria-Bold"/>
          <w:b/>
          <w:bCs/>
          <w:color w:val="4F83BE"/>
          <w:sz w:val="26"/>
          <w:szCs w:val="26"/>
        </w:rPr>
      </w:pPr>
      <w:r>
        <w:rPr>
          <w:rFonts w:ascii="Cambria-Bold" w:eastAsiaTheme="minorHAnsi" w:hAnsi="Cambria-Bold" w:cs="Cambria-Bold"/>
          <w:b/>
          <w:bCs/>
          <w:color w:val="4F83BE"/>
          <w:sz w:val="26"/>
          <w:szCs w:val="26"/>
        </w:rPr>
        <w:t>Utah Education Network</w:t>
      </w:r>
    </w:p>
    <w:p w:rsidR="00E44E3A" w:rsidRDefault="00E44E3A" w:rsidP="00E44E3A">
      <w:pPr>
        <w:autoSpaceDE w:val="0"/>
        <w:autoSpaceDN w:val="0"/>
        <w:adjustRightInd w:val="0"/>
        <w:rPr>
          <w:rFonts w:eastAsiaTheme="minorHAnsi" w:cs="Calibri"/>
          <w:color w:val="000000"/>
          <w:sz w:val="24"/>
          <w:szCs w:val="24"/>
        </w:rPr>
      </w:pPr>
    </w:p>
    <w:p w:rsidR="00E44E3A" w:rsidRDefault="00E44E3A" w:rsidP="00E44E3A">
      <w:pPr>
        <w:autoSpaceDE w:val="0"/>
        <w:autoSpaceDN w:val="0"/>
        <w:adjustRightInd w:val="0"/>
        <w:rPr>
          <w:rFonts w:eastAsiaTheme="minorHAnsi" w:cs="Calibri"/>
          <w:color w:val="000000"/>
          <w:sz w:val="24"/>
          <w:szCs w:val="24"/>
        </w:rPr>
      </w:pPr>
      <w:r>
        <w:rPr>
          <w:rFonts w:eastAsiaTheme="minorHAnsi" w:cs="Calibri"/>
          <w:color w:val="000000"/>
          <w:sz w:val="24"/>
          <w:szCs w:val="24"/>
        </w:rPr>
        <w:t>1. Elementary connectivity and growth: As student enrollments</w:t>
      </w:r>
      <w:r>
        <w:rPr>
          <w:rFonts w:eastAsiaTheme="minorHAnsi" w:cs="Calibri"/>
          <w:color w:val="000000"/>
          <w:sz w:val="24"/>
          <w:szCs w:val="24"/>
        </w:rPr>
        <w:t xml:space="preserve"> increase and new schools open, </w:t>
      </w:r>
      <w:r>
        <w:rPr>
          <w:rFonts w:eastAsiaTheme="minorHAnsi" w:cs="Calibri"/>
          <w:color w:val="000000"/>
          <w:sz w:val="24"/>
          <w:szCs w:val="24"/>
        </w:rPr>
        <w:t>UEN aims to provide additional internet connectivity and instructional appli</w:t>
      </w:r>
      <w:r>
        <w:rPr>
          <w:rFonts w:eastAsiaTheme="minorHAnsi" w:cs="Calibri"/>
          <w:color w:val="000000"/>
          <w:sz w:val="24"/>
          <w:szCs w:val="24"/>
        </w:rPr>
        <w:t xml:space="preserve">cations to meet </w:t>
      </w:r>
      <w:r>
        <w:rPr>
          <w:rFonts w:eastAsiaTheme="minorHAnsi" w:cs="Calibri"/>
          <w:color w:val="000000"/>
          <w:sz w:val="24"/>
          <w:szCs w:val="24"/>
        </w:rPr>
        <w:t>those needs. Enrollment growth, increased demand for connecti</w:t>
      </w:r>
      <w:r>
        <w:rPr>
          <w:rFonts w:eastAsiaTheme="minorHAnsi" w:cs="Calibri"/>
          <w:color w:val="000000"/>
          <w:sz w:val="24"/>
          <w:szCs w:val="24"/>
        </w:rPr>
        <w:t xml:space="preserve">vity with the number of devices </w:t>
      </w:r>
      <w:r>
        <w:rPr>
          <w:rFonts w:eastAsiaTheme="minorHAnsi" w:cs="Calibri"/>
          <w:color w:val="000000"/>
          <w:sz w:val="24"/>
          <w:szCs w:val="24"/>
        </w:rPr>
        <w:t>in use, and increased software licensure costs based on student en</w:t>
      </w:r>
      <w:r>
        <w:rPr>
          <w:rFonts w:eastAsiaTheme="minorHAnsi" w:cs="Calibri"/>
          <w:color w:val="000000"/>
          <w:sz w:val="24"/>
          <w:szCs w:val="24"/>
        </w:rPr>
        <w:t xml:space="preserve">rollment are critical areas for </w:t>
      </w:r>
      <w:r>
        <w:rPr>
          <w:rFonts w:eastAsiaTheme="minorHAnsi" w:cs="Calibri"/>
          <w:color w:val="000000"/>
          <w:sz w:val="24"/>
          <w:szCs w:val="24"/>
        </w:rPr>
        <w:t>UEN.</w:t>
      </w:r>
    </w:p>
    <w:p w:rsidR="00E44E3A" w:rsidRDefault="00E44E3A" w:rsidP="00E44E3A">
      <w:pPr>
        <w:autoSpaceDE w:val="0"/>
        <w:autoSpaceDN w:val="0"/>
        <w:adjustRightInd w:val="0"/>
        <w:rPr>
          <w:rFonts w:eastAsiaTheme="minorHAnsi" w:cs="Calibri"/>
          <w:color w:val="000000"/>
          <w:sz w:val="24"/>
          <w:szCs w:val="24"/>
        </w:rPr>
      </w:pPr>
    </w:p>
    <w:p w:rsidR="00E44E3A" w:rsidRDefault="00E44E3A" w:rsidP="00E44E3A">
      <w:pPr>
        <w:autoSpaceDE w:val="0"/>
        <w:autoSpaceDN w:val="0"/>
        <w:adjustRightInd w:val="0"/>
        <w:rPr>
          <w:rFonts w:eastAsiaTheme="minorHAnsi" w:cs="Calibri"/>
          <w:color w:val="000000"/>
          <w:sz w:val="24"/>
          <w:szCs w:val="24"/>
        </w:rPr>
      </w:pPr>
      <w:r>
        <w:rPr>
          <w:rFonts w:eastAsiaTheme="minorHAnsi" w:cs="Calibri"/>
          <w:color w:val="000000"/>
          <w:sz w:val="24"/>
          <w:szCs w:val="24"/>
        </w:rPr>
        <w:t>2. Equipment: UEN manages over $18.2 million in equipment, wit</w:t>
      </w:r>
      <w:r>
        <w:rPr>
          <w:rFonts w:eastAsiaTheme="minorHAnsi" w:cs="Calibri"/>
          <w:color w:val="000000"/>
          <w:sz w:val="24"/>
          <w:szCs w:val="24"/>
        </w:rPr>
        <w:t xml:space="preserve">h over $14.2 million identified </w:t>
      </w:r>
      <w:r>
        <w:rPr>
          <w:rFonts w:eastAsiaTheme="minorHAnsi" w:cs="Calibri"/>
          <w:color w:val="000000"/>
          <w:sz w:val="24"/>
          <w:szCs w:val="24"/>
        </w:rPr>
        <w:t>as critical to the State’s educational technology infrastructure.</w:t>
      </w:r>
      <w:r>
        <w:rPr>
          <w:rFonts w:eastAsiaTheme="minorHAnsi" w:cs="Calibri"/>
          <w:color w:val="000000"/>
          <w:sz w:val="24"/>
          <w:szCs w:val="24"/>
        </w:rPr>
        <w:t xml:space="preserve"> Much of this equipment is over ten</w:t>
      </w:r>
      <w:r>
        <w:rPr>
          <w:rFonts w:eastAsiaTheme="minorHAnsi" w:cs="Calibri"/>
          <w:color w:val="000000"/>
          <w:sz w:val="24"/>
          <w:szCs w:val="24"/>
        </w:rPr>
        <w:t xml:space="preserve"> years old, making it incompatible with current systems. The </w:t>
      </w:r>
      <w:r>
        <w:rPr>
          <w:rFonts w:eastAsiaTheme="minorHAnsi" w:cs="Calibri"/>
          <w:color w:val="000000"/>
          <w:sz w:val="24"/>
          <w:szCs w:val="24"/>
        </w:rPr>
        <w:t xml:space="preserve">average life cycle of equipment </w:t>
      </w:r>
      <w:r>
        <w:rPr>
          <w:rFonts w:eastAsiaTheme="minorHAnsi" w:cs="Calibri"/>
          <w:color w:val="000000"/>
          <w:sz w:val="24"/>
          <w:szCs w:val="24"/>
        </w:rPr>
        <w:t>is seven years.</w:t>
      </w:r>
    </w:p>
    <w:p w:rsidR="00E44E3A" w:rsidRDefault="00E44E3A" w:rsidP="00E44E3A">
      <w:pPr>
        <w:autoSpaceDE w:val="0"/>
        <w:autoSpaceDN w:val="0"/>
        <w:adjustRightInd w:val="0"/>
        <w:rPr>
          <w:rFonts w:eastAsiaTheme="minorHAnsi" w:cs="Calibri"/>
          <w:color w:val="000000"/>
          <w:sz w:val="24"/>
          <w:szCs w:val="24"/>
        </w:rPr>
      </w:pPr>
    </w:p>
    <w:p w:rsidR="00E44E3A" w:rsidRDefault="00E44E3A" w:rsidP="00E44E3A">
      <w:pPr>
        <w:autoSpaceDE w:val="0"/>
        <w:autoSpaceDN w:val="0"/>
        <w:adjustRightInd w:val="0"/>
        <w:rPr>
          <w:rFonts w:eastAsiaTheme="minorHAnsi" w:cs="Calibri"/>
          <w:color w:val="000000"/>
          <w:sz w:val="24"/>
          <w:szCs w:val="24"/>
        </w:rPr>
      </w:pPr>
      <w:r>
        <w:rPr>
          <w:rFonts w:eastAsiaTheme="minorHAnsi" w:cs="Calibri"/>
          <w:color w:val="000000"/>
          <w:sz w:val="24"/>
          <w:szCs w:val="24"/>
        </w:rPr>
        <w:t>3. Network security and employee retention: Security of the State’</w:t>
      </w:r>
      <w:r>
        <w:rPr>
          <w:rFonts w:eastAsiaTheme="minorHAnsi" w:cs="Calibri"/>
          <w:color w:val="000000"/>
          <w:sz w:val="24"/>
          <w:szCs w:val="24"/>
        </w:rPr>
        <w:t xml:space="preserve">s education network is an </w:t>
      </w:r>
      <w:r>
        <w:rPr>
          <w:rFonts w:eastAsiaTheme="minorHAnsi" w:cs="Calibri"/>
          <w:color w:val="000000"/>
          <w:sz w:val="24"/>
          <w:szCs w:val="24"/>
        </w:rPr>
        <w:t xml:space="preserve">ongoing concern. UEN </w:t>
      </w:r>
      <w:r>
        <w:rPr>
          <w:rFonts w:eastAsiaTheme="minorHAnsi" w:cs="Calibri"/>
          <w:color w:val="000000"/>
          <w:sz w:val="24"/>
          <w:szCs w:val="24"/>
        </w:rPr>
        <w:lastRenderedPageBreak/>
        <w:t>continues to see a rise in security issu</w:t>
      </w:r>
      <w:r>
        <w:rPr>
          <w:rFonts w:eastAsiaTheme="minorHAnsi" w:cs="Calibri"/>
          <w:color w:val="000000"/>
          <w:sz w:val="24"/>
          <w:szCs w:val="24"/>
        </w:rPr>
        <w:t xml:space="preserve">es and incidents. The frequency </w:t>
      </w:r>
      <w:r>
        <w:rPr>
          <w:rFonts w:eastAsiaTheme="minorHAnsi" w:cs="Calibri"/>
          <w:color w:val="000000"/>
          <w:sz w:val="24"/>
          <w:szCs w:val="24"/>
        </w:rPr>
        <w:t>and sophistication of these attacks continues at a pace that is outgr</w:t>
      </w:r>
      <w:r>
        <w:rPr>
          <w:rFonts w:eastAsiaTheme="minorHAnsi" w:cs="Calibri"/>
          <w:color w:val="000000"/>
          <w:sz w:val="24"/>
          <w:szCs w:val="24"/>
        </w:rPr>
        <w:t xml:space="preserve">owing their ability to </w:t>
      </w:r>
      <w:r>
        <w:rPr>
          <w:rFonts w:eastAsiaTheme="minorHAnsi" w:cs="Calibri"/>
          <w:color w:val="000000"/>
          <w:sz w:val="24"/>
          <w:szCs w:val="24"/>
        </w:rPr>
        <w:t>manage with current resources.</w:t>
      </w:r>
    </w:p>
    <w:p w:rsidR="00E44E3A" w:rsidRDefault="00E44E3A" w:rsidP="00E44E3A">
      <w:pPr>
        <w:autoSpaceDE w:val="0"/>
        <w:autoSpaceDN w:val="0"/>
        <w:adjustRightInd w:val="0"/>
        <w:rPr>
          <w:rFonts w:ascii="Cambria-Bold" w:eastAsiaTheme="minorHAnsi" w:hAnsi="Cambria-Bold" w:cs="Cambria-Bold"/>
          <w:b/>
          <w:bCs/>
          <w:color w:val="4F83BE"/>
          <w:sz w:val="26"/>
          <w:szCs w:val="26"/>
        </w:rPr>
      </w:pPr>
    </w:p>
    <w:p w:rsidR="00E44E3A" w:rsidRDefault="00E44E3A" w:rsidP="00E44E3A">
      <w:pPr>
        <w:autoSpaceDE w:val="0"/>
        <w:autoSpaceDN w:val="0"/>
        <w:adjustRightInd w:val="0"/>
        <w:rPr>
          <w:rFonts w:ascii="Cambria-Bold" w:eastAsiaTheme="minorHAnsi" w:hAnsi="Cambria-Bold" w:cs="Cambria-Bold"/>
          <w:b/>
          <w:bCs/>
          <w:color w:val="4F83BE"/>
          <w:sz w:val="26"/>
          <w:szCs w:val="26"/>
        </w:rPr>
      </w:pPr>
      <w:r>
        <w:rPr>
          <w:rFonts w:ascii="Cambria-Bold" w:eastAsiaTheme="minorHAnsi" w:hAnsi="Cambria-Bold" w:cs="Cambria-Bold"/>
          <w:b/>
          <w:bCs/>
          <w:color w:val="4F83BE"/>
          <w:sz w:val="26"/>
          <w:szCs w:val="26"/>
        </w:rPr>
        <w:t>Department of Human Resource Management</w:t>
      </w:r>
    </w:p>
    <w:p w:rsidR="00E44E3A" w:rsidRDefault="00E44E3A" w:rsidP="00E44E3A">
      <w:pPr>
        <w:autoSpaceDE w:val="0"/>
        <w:autoSpaceDN w:val="0"/>
        <w:adjustRightInd w:val="0"/>
        <w:rPr>
          <w:rFonts w:eastAsiaTheme="minorHAnsi" w:cs="Calibri"/>
          <w:color w:val="000000"/>
          <w:sz w:val="24"/>
          <w:szCs w:val="24"/>
        </w:rPr>
      </w:pPr>
    </w:p>
    <w:p w:rsidR="00E44E3A" w:rsidRPr="00E44E3A" w:rsidRDefault="00E44E3A" w:rsidP="00E44E3A">
      <w:pPr>
        <w:autoSpaceDE w:val="0"/>
        <w:autoSpaceDN w:val="0"/>
        <w:adjustRightInd w:val="0"/>
        <w:rPr>
          <w:rFonts w:eastAsiaTheme="minorHAnsi" w:cs="Calibri"/>
          <w:color w:val="000000"/>
          <w:sz w:val="24"/>
          <w:szCs w:val="24"/>
        </w:rPr>
      </w:pPr>
      <w:r>
        <w:rPr>
          <w:rFonts w:eastAsiaTheme="minorHAnsi" w:cs="Calibri"/>
          <w:color w:val="000000"/>
          <w:sz w:val="24"/>
          <w:szCs w:val="24"/>
        </w:rPr>
        <w:t xml:space="preserve">Excess Funding: DHRM has had closing balances of more than </w:t>
      </w:r>
      <w:r>
        <w:rPr>
          <w:rFonts w:eastAsiaTheme="minorHAnsi" w:cs="Calibri"/>
          <w:color w:val="000000"/>
          <w:sz w:val="24"/>
          <w:szCs w:val="24"/>
        </w:rPr>
        <w:t xml:space="preserve">$700,000 for each of the past 5 </w:t>
      </w:r>
      <w:r>
        <w:rPr>
          <w:rFonts w:eastAsiaTheme="minorHAnsi" w:cs="Calibri"/>
          <w:color w:val="000000"/>
          <w:sz w:val="24"/>
          <w:szCs w:val="24"/>
        </w:rPr>
        <w:t>years, with a closing balance of over $1 million in FY 2013</w:t>
      </w:r>
      <w:r>
        <w:rPr>
          <w:rFonts w:eastAsiaTheme="minorHAnsi" w:cs="Calibri"/>
          <w:color w:val="000000"/>
          <w:sz w:val="24"/>
          <w:szCs w:val="24"/>
        </w:rPr>
        <w:t xml:space="preserve">. This may be an opportunity to </w:t>
      </w:r>
      <w:r>
        <w:rPr>
          <w:rFonts w:eastAsiaTheme="minorHAnsi" w:cs="Calibri"/>
          <w:color w:val="000000"/>
          <w:sz w:val="24"/>
          <w:szCs w:val="24"/>
        </w:rPr>
        <w:t>reallocate funding the department no longer needs.</w:t>
      </w:r>
    </w:p>
    <w:p w:rsidR="00E44E3A" w:rsidRDefault="00E44E3A" w:rsidP="00E44E3A">
      <w:pPr>
        <w:rPr>
          <w:rFonts w:ascii="Arial" w:hAnsi="Arial" w:cs="Arial"/>
          <w:b/>
          <w:bCs/>
        </w:rPr>
      </w:pPr>
    </w:p>
    <w:p w:rsidR="00E44E3A" w:rsidRPr="00E44E3A" w:rsidRDefault="00E44E3A" w:rsidP="00E44E3A">
      <w:pPr>
        <w:rPr>
          <w:rFonts w:asciiTheme="majorHAnsi" w:hAnsiTheme="majorHAnsi"/>
          <w:b/>
          <w:color w:val="548DD4" w:themeColor="text2" w:themeTint="99"/>
          <w:sz w:val="26"/>
          <w:szCs w:val="26"/>
        </w:rPr>
      </w:pPr>
      <w:r w:rsidRPr="00E44E3A">
        <w:rPr>
          <w:rFonts w:asciiTheme="majorHAnsi" w:hAnsiTheme="majorHAnsi" w:cs="Arial"/>
          <w:b/>
          <w:bCs/>
          <w:color w:val="548DD4" w:themeColor="text2" w:themeTint="99"/>
          <w:sz w:val="26"/>
          <w:szCs w:val="26"/>
        </w:rPr>
        <w:t>Retirement Contribution Rates</w:t>
      </w:r>
    </w:p>
    <w:p w:rsidR="00E44E3A" w:rsidRPr="00E44E3A" w:rsidRDefault="00E44E3A">
      <w:pPr>
        <w:rPr>
          <w:rFonts w:ascii="Arial" w:hAnsi="Arial" w:cs="Arial"/>
        </w:rPr>
      </w:pPr>
    </w:p>
    <w:p w:rsidR="00E44E3A" w:rsidRDefault="00E44E3A">
      <w:pPr>
        <w:rPr>
          <w:rFonts w:asciiTheme="minorHAnsi" w:hAnsiTheme="minorHAnsi" w:cs="Arial"/>
          <w:sz w:val="24"/>
          <w:szCs w:val="24"/>
        </w:rPr>
      </w:pPr>
      <w:r w:rsidRPr="00E44E3A">
        <w:rPr>
          <w:rFonts w:asciiTheme="minorHAnsi" w:hAnsiTheme="minorHAnsi" w:cs="Arial"/>
          <w:sz w:val="24"/>
          <w:szCs w:val="24"/>
        </w:rPr>
        <w:t xml:space="preserve">Background: Received a report from the Utah Retirement Office on the proposed Utah Retirement System employee contribution rates for FY 2015. Contribution rates are the percentage of salary that participating employers must pay to the Utah State Retirement Investment Fund for each eligible employee to keep retirement systems funded on an actuarially sound basis. The rates are set based on actuarial projections and must be approved annually by the Utah Retirement Systems Board. </w:t>
      </w:r>
    </w:p>
    <w:p w:rsidR="00E44E3A" w:rsidRDefault="00E44E3A">
      <w:pPr>
        <w:rPr>
          <w:rFonts w:asciiTheme="minorHAnsi" w:hAnsiTheme="minorHAnsi" w:cs="Arial"/>
          <w:sz w:val="24"/>
          <w:szCs w:val="24"/>
        </w:rPr>
      </w:pPr>
    </w:p>
    <w:p w:rsidR="00886DB6" w:rsidRPr="00E44E3A" w:rsidRDefault="00E44E3A">
      <w:pPr>
        <w:rPr>
          <w:rFonts w:asciiTheme="minorHAnsi" w:hAnsiTheme="minorHAnsi"/>
          <w:sz w:val="24"/>
          <w:szCs w:val="24"/>
        </w:rPr>
      </w:pPr>
      <w:r w:rsidRPr="00E44E3A">
        <w:rPr>
          <w:rFonts w:asciiTheme="minorHAnsi" w:hAnsiTheme="minorHAnsi" w:cs="Arial"/>
          <w:sz w:val="24"/>
          <w:szCs w:val="24"/>
        </w:rPr>
        <w:t>At 22.19% of salary for state and school employees in the Tier I Public Employees Noncontributory Retirement System, the FY 2015 proposed rate is the highest to date. URS reports that as projected and barring new economic downturns, the proposed rates are at their peak, should level out for a few years, and then start to reduce in subsequent years.</w:t>
      </w:r>
    </w:p>
    <w:sectPr w:rsidR="00886DB6" w:rsidRPr="00E44E3A" w:rsidSect="00E44E3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3A"/>
    <w:rsid w:val="00886DB6"/>
    <w:rsid w:val="00E4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3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3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tweiler</dc:creator>
  <cp:lastModifiedBy>tweiler</cp:lastModifiedBy>
  <cp:revision>1</cp:revision>
  <dcterms:created xsi:type="dcterms:W3CDTF">2013-12-18T20:53:00Z</dcterms:created>
  <dcterms:modified xsi:type="dcterms:W3CDTF">2013-12-18T21:00:00Z</dcterms:modified>
</cp:coreProperties>
</file>